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黑体" w:hAnsi="宋体" w:eastAsia="黑体" w:cs="Times New Roman"/>
          <w:spacing w:val="6"/>
          <w:sz w:val="32"/>
          <w:szCs w:val="32"/>
        </w:rPr>
        <w:t>附件2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hint="eastAsia" w:ascii="华文中宋" w:hAnsi="华文中宋" w:eastAsia="华文中宋" w:cs="华文中宋"/>
          <w:b w:val="0"/>
          <w:bCs/>
          <w:spacing w:val="6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pacing w:val="6"/>
          <w:sz w:val="44"/>
          <w:szCs w:val="44"/>
        </w:rPr>
        <w:t>座谈会提纲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left"/>
        <w:rPr>
          <w:rFonts w:ascii="黑体" w:hAnsi="宋体" w:eastAsia="黑体" w:cs="Times New Roman"/>
          <w:spacing w:val="6"/>
          <w:sz w:val="44"/>
          <w:szCs w:val="44"/>
        </w:rPr>
      </w:pPr>
      <w:r>
        <w:rPr>
          <w:rFonts w:hint="eastAsia" w:ascii="黑体" w:hAnsi="宋体" w:eastAsia="黑体" w:cs="Times New Roman"/>
          <w:spacing w:val="6"/>
          <w:sz w:val="44"/>
          <w:szCs w:val="44"/>
        </w:rPr>
        <w:t xml:space="preserve">  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left"/>
        <w:rPr>
          <w:rFonts w:ascii="黑体" w:hAnsi="微软雅黑" w:eastAsia="黑体" w:cs="微软雅黑"/>
          <w:spacing w:val="6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Times New Roman"/>
          <w:spacing w:val="6"/>
          <w:sz w:val="44"/>
          <w:szCs w:val="44"/>
        </w:rPr>
        <w:t xml:space="preserve">  </w:t>
      </w:r>
      <w:r>
        <w:rPr>
          <w:rFonts w:hint="eastAsia" w:ascii="黑体" w:hAnsi="宋体" w:eastAsia="黑体" w:cs="Times New Roman"/>
          <w:spacing w:val="6"/>
          <w:sz w:val="32"/>
          <w:szCs w:val="32"/>
        </w:rPr>
        <w:t xml:space="preserve"> 一、</w:t>
      </w:r>
      <w:r>
        <w:rPr>
          <w:rFonts w:hint="eastAsia" w:ascii="黑体" w:hAnsi="微软雅黑" w:eastAsia="黑体" w:cs="微软雅黑"/>
          <w:spacing w:val="6"/>
          <w:sz w:val="32"/>
          <w:szCs w:val="32"/>
          <w:shd w:val="clear" w:color="auto" w:fill="FFFFFF"/>
        </w:rPr>
        <w:t>国有金融资本运营及风险情况</w:t>
      </w:r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仿宋_GB2312" w:hAnsi="微软雅黑" w:eastAsia="仿宋_GB2312" w:cs="微软雅黑"/>
          <w:spacing w:val="6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 xml:space="preserve">   （一）</w:t>
      </w: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  <w:lang w:eastAsia="zh-CN"/>
        </w:rPr>
        <w:t>截止</w:t>
      </w: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  <w:lang w:val="en-US" w:eastAsia="zh-CN"/>
        </w:rPr>
        <w:t>2021年末，</w:t>
      </w: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本企业国有金融资本在辽宁省的总量、投向、布局、</w:t>
      </w:r>
      <w:r>
        <w:rPr>
          <w:rFonts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经营运行数据增减变动</w:t>
      </w: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等情况</w:t>
      </w:r>
      <w:r>
        <w:rPr>
          <w:rFonts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。其中</w:t>
      </w: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，</w:t>
      </w:r>
      <w:r>
        <w:rPr>
          <w:rFonts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经营运行数据按照</w:t>
      </w: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金融企业主要经营运行指标</w:t>
      </w: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  <w:lang w:eastAsia="zh-CN"/>
        </w:rPr>
        <w:t>月度报表</w:t>
      </w: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</w:rPr>
        <w:t>进行分析。</w:t>
      </w:r>
    </w:p>
    <w:p>
      <w:pPr>
        <w:pStyle w:val="6"/>
        <w:spacing w:beforeAutospacing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 xml:space="preserve">  </w:t>
      </w:r>
      <w:r>
        <w:rPr>
          <w:rFonts w:hint="eastAsia" w:ascii="黑体" w:hAnsi="微软雅黑" w:eastAsia="黑体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（二）结合经营运行数据分析，研判本企业国有金融资本运营在辽宁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地区显现的金融风险向财政转移集聚的苗头性和趋势性风险。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需具体说明本企业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房地产贷款余额及增速、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贴现业务余额及增速。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6"/>
        <w:widowControl/>
        <w:spacing w:beforeAutospacing="0" w:afterAutospacing="0" w:line="600" w:lineRule="exact"/>
        <w:ind w:firstLine="42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聚焦党中央、国务院重大决策部署和中央关注重点、社会关注热点，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支持服务辽宁省经济社会发展的创新做法、取得的成效、遇到的困难、存在问题及提出相应意见和建议。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可根据本企业经营特点，围绕以下八个方面进行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总结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，如有特殊经营情况也可补充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仿宋_GB2312" w:hAnsi="微软雅黑" w:eastAsia="仿宋_GB2312" w:cs="微软雅黑"/>
          <w:spacing w:val="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一是支持普惠型小微企业方面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，需分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别说明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val="en-US" w:eastAsia="zh-CN"/>
        </w:rPr>
        <w:t>2021年度银保监局、总行考核的</w:t>
      </w:r>
      <w:r>
        <w:rPr>
          <w:rFonts w:hint="eastAsia" w:ascii="仿宋_GB2312" w:hAnsi="微软雅黑" w:eastAsia="仿宋_GB2312" w:cs="微软雅黑"/>
          <w:spacing w:val="6"/>
          <w:sz w:val="32"/>
          <w:szCs w:val="32"/>
          <w:shd w:val="clear" w:color="auto" w:fill="FFFFFF"/>
          <w:lang w:eastAsia="zh-CN"/>
        </w:rPr>
        <w:t>普惠金融“两增两控”具体任务及全年任务完成情况；二是</w:t>
      </w:r>
      <w:r>
        <w:rPr>
          <w:rFonts w:hint="eastAsia" w:ascii="仿宋_GB2312" w:hAnsi="Times New Roman" w:eastAsia="仿宋_GB2312" w:cs="Times New Roman"/>
          <w:spacing w:val="6"/>
          <w:kern w:val="21"/>
          <w:sz w:val="32"/>
          <w:szCs w:val="32"/>
        </w:rPr>
        <w:t>防范化解地方政府隐性债务方面；</w:t>
      </w:r>
      <w:r>
        <w:rPr>
          <w:rFonts w:hint="eastAsia" w:ascii="仿宋_GB2312" w:hAnsi="Times New Roman" w:eastAsia="仿宋_GB2312" w:cs="Times New Roman"/>
          <w:spacing w:val="6"/>
          <w:kern w:val="21"/>
          <w:sz w:val="32"/>
          <w:szCs w:val="32"/>
          <w:lang w:eastAsia="zh-CN"/>
        </w:rPr>
        <w:t>三</w:t>
      </w:r>
      <w:r>
        <w:rPr>
          <w:rFonts w:hint="eastAsia" w:ascii="仿宋_GB2312" w:hAnsi="Times New Roman" w:eastAsia="仿宋_GB2312" w:cs="Times New Roman"/>
          <w:spacing w:val="6"/>
          <w:kern w:val="21"/>
          <w:sz w:val="32"/>
          <w:szCs w:val="32"/>
        </w:rPr>
        <w:t>是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支持绿色发展方面</w:t>
      </w:r>
      <w:r>
        <w:rPr>
          <w:rFonts w:hint="eastAsia" w:ascii="仿宋_GB2312" w:hAnsi="Times New Roman" w:eastAsia="仿宋_GB2312" w:cs="Times New Roman"/>
          <w:spacing w:val="6"/>
          <w:kern w:val="21"/>
          <w:sz w:val="32"/>
          <w:szCs w:val="32"/>
        </w:rPr>
        <w:t>；</w:t>
      </w:r>
      <w:r>
        <w:rPr>
          <w:rFonts w:hint="eastAsia" w:ascii="仿宋_GB2312" w:hAnsi="Times New Roman" w:eastAsia="仿宋_GB2312" w:cs="Times New Roman"/>
          <w:spacing w:val="6"/>
          <w:kern w:val="21"/>
          <w:sz w:val="32"/>
          <w:szCs w:val="32"/>
          <w:lang w:eastAsia="zh-CN"/>
        </w:rPr>
        <w:t>四</w:t>
      </w:r>
      <w:r>
        <w:rPr>
          <w:rFonts w:hint="eastAsia" w:ascii="仿宋_GB2312" w:hAnsi="Times New Roman" w:eastAsia="仿宋_GB2312" w:cs="Times New Roman"/>
          <w:spacing w:val="6"/>
          <w:kern w:val="21"/>
          <w:sz w:val="32"/>
          <w:szCs w:val="32"/>
        </w:rPr>
        <w:t>是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支持战略性新兴产业方面</w:t>
      </w:r>
      <w:r>
        <w:rPr>
          <w:rFonts w:hint="eastAsia" w:ascii="仿宋_GB2312" w:hAnsi="Times New Roman" w:eastAsia="仿宋_GB2312" w:cs="Times New Roman"/>
          <w:spacing w:val="6"/>
          <w:kern w:val="21"/>
          <w:sz w:val="32"/>
          <w:szCs w:val="32"/>
        </w:rPr>
        <w:t>；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五是支持乡村振兴方面；六是</w:t>
      </w:r>
      <w:r>
        <w:rPr>
          <w:rFonts w:hint="eastAsia" w:ascii="仿宋_GB2312" w:hAnsi="华文中宋" w:eastAsia="仿宋_GB2312" w:cs="Times New Roman"/>
          <w:spacing w:val="6"/>
          <w:sz w:val="32"/>
          <w:szCs w:val="32"/>
        </w:rPr>
        <w:t>聚焦“房住不炒”主基调，支持住房租赁市场发展方面；七是维护房地产市场健康发展方面</w:t>
      </w:r>
      <w:r>
        <w:rPr>
          <w:rFonts w:hint="eastAsia" w:ascii="仿宋_GB2312" w:hAnsi="华文中宋" w:eastAsia="仿宋_GB2312" w:cs="Times New Roman"/>
          <w:spacing w:val="6"/>
          <w:sz w:val="32"/>
          <w:szCs w:val="32"/>
          <w:lang w:eastAsia="zh-CN"/>
        </w:rPr>
        <w:t>，其中房地产贷款余额和增速</w:t>
      </w:r>
      <w:r>
        <w:rPr>
          <w:rFonts w:hint="eastAsia" w:ascii="仿宋_GB2312" w:hAnsi="华文中宋" w:eastAsia="仿宋_GB2312" w:cs="Times New Roman"/>
          <w:spacing w:val="6"/>
          <w:sz w:val="32"/>
          <w:szCs w:val="32"/>
        </w:rPr>
        <w:t>；</w:t>
      </w:r>
      <w:r>
        <w:rPr>
          <w:rFonts w:hint="eastAsia" w:ascii="仿宋_GB2312" w:hAnsi="华文中宋" w:eastAsia="仿宋_GB2312" w:cs="Times New Roman"/>
          <w:spacing w:val="6"/>
          <w:sz w:val="32"/>
          <w:szCs w:val="32"/>
          <w:lang w:eastAsia="zh-CN"/>
        </w:rPr>
        <w:t>八是</w:t>
      </w:r>
      <w:r>
        <w:rPr>
          <w:rFonts w:hint="eastAsia" w:ascii="仿宋_GB2312" w:hAnsi="华文中宋" w:eastAsia="仿宋_GB2312" w:cs="Times New Roman"/>
          <w:spacing w:val="6"/>
          <w:sz w:val="32"/>
          <w:szCs w:val="32"/>
        </w:rPr>
        <w:t>支持政府提升政务和服务管理水平方面</w:t>
      </w:r>
      <w:r>
        <w:rPr>
          <w:rFonts w:hint="eastAsia" w:ascii="仿宋_GB2312" w:hAnsi="华文中宋" w:eastAsia="仿宋_GB2312" w:cs="Times New Roman"/>
          <w:spacing w:val="6"/>
          <w:sz w:val="32"/>
          <w:szCs w:val="32"/>
          <w:lang w:eastAsia="zh-CN"/>
        </w:rPr>
        <w:t>，其中保险企业应包括如何进一步优化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eastAsia="zh-CN"/>
        </w:rPr>
        <w:t>市场业务结构，保障和提升政府公共责任能力，发挥“社会稳定器”作用。</w:t>
      </w:r>
    </w:p>
    <w:p>
      <w:pPr>
        <w:pStyle w:val="6"/>
        <w:widowControl/>
        <w:numPr>
          <w:ilvl w:val="0"/>
          <w:numId w:val="1"/>
        </w:numPr>
        <w:spacing w:beforeAutospacing="0" w:afterAutospacing="0" w:line="600" w:lineRule="exact"/>
        <w:ind w:left="1350" w:hanging="720"/>
        <w:rPr>
          <w:rFonts w:ascii="黑体" w:hAnsi="宋体" w:eastAsia="黑体" w:cs="宋体"/>
          <w:bCs/>
          <w:spacing w:val="6"/>
          <w:kern w:val="2"/>
          <w:sz w:val="32"/>
          <w:szCs w:val="32"/>
        </w:rPr>
      </w:pPr>
      <w:r>
        <w:rPr>
          <w:rFonts w:hint="eastAsia" w:ascii="黑体" w:hAnsi="宋体" w:eastAsia="黑体" w:cs="宋体"/>
          <w:bCs/>
          <w:spacing w:val="6"/>
          <w:kern w:val="2"/>
          <w:sz w:val="32"/>
          <w:szCs w:val="32"/>
        </w:rPr>
        <w:t>财务制度执行情况</w:t>
      </w:r>
    </w:p>
    <w:p>
      <w:pPr>
        <w:pStyle w:val="6"/>
        <w:widowControl/>
        <w:spacing w:beforeAutospacing="0" w:afterAutospacing="0" w:line="600" w:lineRule="exact"/>
        <w:ind w:firstLine="420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根据本企业、行业特点，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就</w:t>
      </w:r>
      <w:r>
        <w:rPr>
          <w:rFonts w:hint="eastAsia" w:ascii="仿宋_GB2312" w:hAnsi="Times New Roman" w:eastAsia="仿宋_GB2312" w:cs="Times New Roman"/>
          <w:sz w:val="32"/>
          <w:szCs w:val="32"/>
        </w:rPr>
        <w:t>金融企业财务制度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 w:cs="宋体"/>
          <w:bCs/>
          <w:spacing w:val="6"/>
          <w:kern w:val="2"/>
          <w:sz w:val="32"/>
          <w:szCs w:val="32"/>
        </w:rPr>
        <w:t>薪酬管理、负责人履职待遇和业务支出管理等方面，其中银行类金融企业还涉及不良资产处置（含批量转让）、呆账核销、抵债资产管理和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贷款本息减免政策、制度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执行情况进行说明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。主要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包括以下三方面：</w:t>
      </w:r>
    </w:p>
    <w:p>
      <w:pPr>
        <w:pStyle w:val="6"/>
        <w:widowControl/>
        <w:spacing w:beforeAutospacing="0" w:afterAutospacing="0" w:line="600" w:lineRule="exact"/>
        <w:ind w:firstLine="420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（一）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  <w:lang w:val="en-US" w:eastAsia="zh-CN"/>
        </w:rPr>
        <w:t>2021年度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内部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  <w:lang w:eastAsia="zh-CN"/>
        </w:rPr>
        <w:t>监督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</w:rPr>
        <w:t>和外部</w:t>
      </w:r>
      <w:r>
        <w:rPr>
          <w:rFonts w:hint="eastAsia" w:ascii="仿宋_GB2312" w:hAnsi="微软雅黑" w:eastAsia="仿宋_GB2312" w:cs="微软雅黑"/>
          <w:sz w:val="32"/>
          <w:szCs w:val="32"/>
          <w:shd w:val="clear" w:color="auto" w:fill="FFFFFF"/>
          <w:lang w:eastAsia="zh-CN"/>
        </w:rPr>
        <w:t>监管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发现的问题及整改情况；</w:t>
      </w:r>
    </w:p>
    <w:p>
      <w:pPr>
        <w:pStyle w:val="6"/>
        <w:widowControl/>
        <w:spacing w:beforeAutospacing="0" w:afterAutospacing="0" w:line="600" w:lineRule="exact"/>
        <w:ind w:firstLine="420"/>
        <w:rPr>
          <w:rFonts w:ascii="仿宋_GB2312" w:hAnsi="微软雅黑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（二）制度执行中存在的问题及困难；</w:t>
      </w:r>
    </w:p>
    <w:p>
      <w:pPr>
        <w:pStyle w:val="6"/>
        <w:widowControl/>
        <w:spacing w:beforeAutospacing="0" w:afterAutospacing="0" w:line="600" w:lineRule="exact"/>
        <w:ind w:firstLine="42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（三）完善有关政策制度的意见建议。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exact"/>
        <w:ind w:left="0" w:firstLine="664" w:firstLineChars="200"/>
        <w:rPr>
          <w:rFonts w:hint="eastAsia" w:ascii="黑体" w:hAnsi="宋体" w:eastAsia="黑体" w:cs="宋体"/>
          <w:bCs/>
          <w:spacing w:val="6"/>
          <w:kern w:val="2"/>
          <w:sz w:val="32"/>
          <w:szCs w:val="32"/>
        </w:rPr>
      </w:pPr>
      <w:r>
        <w:rPr>
          <w:rFonts w:hint="eastAsia" w:ascii="黑体" w:hAnsi="宋体" w:eastAsia="黑体" w:cs="宋体"/>
          <w:bCs/>
          <w:spacing w:val="6"/>
          <w:kern w:val="2"/>
          <w:sz w:val="32"/>
          <w:szCs w:val="32"/>
          <w:lang w:eastAsia="zh-CN"/>
        </w:rPr>
        <w:t>三、</w:t>
      </w:r>
      <w:r>
        <w:rPr>
          <w:rFonts w:hint="eastAsia" w:ascii="黑体" w:hAnsi="宋体" w:eastAsia="黑体" w:cs="宋体"/>
          <w:bCs/>
          <w:spacing w:val="6"/>
          <w:kern w:val="2"/>
          <w:sz w:val="32"/>
          <w:szCs w:val="32"/>
          <w:lang w:val="en-US" w:eastAsia="zh-CN"/>
        </w:rPr>
        <w:t>2022年工作思路、</w:t>
      </w:r>
      <w:r>
        <w:rPr>
          <w:rFonts w:hint="eastAsia" w:ascii="黑体" w:hAnsi="宋体" w:eastAsia="黑体" w:cs="宋体"/>
          <w:bCs/>
          <w:spacing w:val="6"/>
          <w:kern w:val="2"/>
          <w:sz w:val="32"/>
          <w:szCs w:val="32"/>
        </w:rPr>
        <w:t>意见和建议</w:t>
      </w: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jc w:val="left"/>
        <w:rPr>
          <w:rFonts w:hint="eastAsia"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（一）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促进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金融企业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发展的意见和建议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；</w:t>
      </w: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建立健全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</w:rPr>
        <w:t>金融企业财务制度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的意见和建议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；</w:t>
      </w: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改善</w:t>
      </w:r>
      <w:r>
        <w:rPr>
          <w:rFonts w:hint="eastAsia" w:ascii="仿宋_GB2312" w:hAnsi="Times New Roman" w:eastAsia="仿宋_GB2312" w:cs="Times New Roman"/>
          <w:spacing w:val="6"/>
          <w:sz w:val="32"/>
          <w:szCs w:val="32"/>
        </w:rPr>
        <w:t>金融企业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发展外部环境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的意见和建议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；</w:t>
      </w: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jc w:val="left"/>
        <w:rPr>
          <w:rFonts w:ascii="仿宋_GB2312" w:hAnsi="宋体" w:eastAsia="仿宋_GB2312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Times New Roman"/>
          <w:b w:val="0"/>
          <w:spacing w:val="6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完善宏观经济政策方面的意见和建议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jc w:val="left"/>
        <w:rPr>
          <w:rFonts w:ascii="黑体" w:hAnsi="宋体" w:eastAsia="黑体" w:cs="Times New Roman"/>
          <w:spacing w:val="6"/>
          <w:sz w:val="32"/>
          <w:szCs w:val="32"/>
        </w:rPr>
      </w:pP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（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）其他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  <w:lang w:eastAsia="zh-CN"/>
        </w:rPr>
        <w:t>意见和建议</w:t>
      </w:r>
      <w:r>
        <w:rPr>
          <w:rFonts w:hint="eastAsia" w:ascii="仿宋_GB2312" w:hAnsi="宋体" w:eastAsia="仿宋_GB2312" w:cs="Times New Roman"/>
          <w:spacing w:val="6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黑体" w:hAnsi="宋体" w:eastAsia="黑体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exact"/>
        <w:outlineLvl w:val="0"/>
        <w:rPr>
          <w:rFonts w:hint="eastAsia" w:ascii="仿宋_GB2312" w:hAnsi="仿宋" w:eastAsia="仿宋_GB2312" w:cs="Times New Roman"/>
          <w:spacing w:val="6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8037802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3"/>
          <w:ind w:left="357" w:right="420" w:rightChars="200"/>
          <w:jc w:val="right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 w:cstheme="minorEastAsia"/>
            <w:sz w:val="15"/>
            <w:szCs w:val="15"/>
          </w:rPr>
          <w:t>　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11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7805"/>
      <w:docPartObj>
        <w:docPartGallery w:val="autotext"/>
      </w:docPartObj>
    </w:sdtPr>
    <w:sdtContent>
      <w:p>
        <w:pPr>
          <w:pStyle w:val="3"/>
          <w:ind w:left="420" w:leftChars="200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 w:cstheme="minorEastAsia"/>
            <w:sz w:val="15"/>
            <w:szCs w:val="15"/>
          </w:rPr>
          <w:t>　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10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9D786D"/>
    <w:multiLevelType w:val="multilevel"/>
    <w:tmpl w:val="359D786D"/>
    <w:lvl w:ilvl="0" w:tentative="0">
      <w:start w:val="2"/>
      <w:numFmt w:val="japaneseCounting"/>
      <w:lvlText w:val="%1、"/>
      <w:lvlJc w:val="left"/>
      <w:pPr>
        <w:ind w:left="1350" w:hanging="720"/>
      </w:pPr>
      <w:rPr>
        <w:rFonts w:hint="default" w:hAnsi="微软雅黑" w:cs="微软雅黑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0A4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7DED9AFE"/>
    <w:rsid w:val="7DFFD05F"/>
    <w:rsid w:val="7F3F9276"/>
    <w:rsid w:val="AD9BED66"/>
    <w:rsid w:val="D7FFB44F"/>
    <w:rsid w:val="FF5FB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semiHidden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semiHidden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华文中宋" w:cs="Times New Roman"/>
      <w:spacing w:val="6"/>
      <w:sz w:val="72"/>
      <w:szCs w:val="24"/>
    </w:rPr>
  </w:style>
  <w:style w:type="paragraph" w:styleId="6">
    <w:name w:val="Normal (Web)"/>
    <w:qFormat/>
    <w:uiPriority w:val="0"/>
    <w:pPr>
      <w:widowControl w:val="0"/>
      <w:autoSpaceDE/>
      <w:autoSpaceDN/>
      <w:adjustRightInd/>
      <w:snapToGrid/>
      <w:spacing w:beforeAutospacing="1" w:afterAutospacing="1" w:line="240" w:lineRule="auto"/>
      <w:jc w:val="left"/>
    </w:pPr>
    <w:rPr>
      <w:rFonts w:ascii="Calibri" w:hAnsi="Calibri" w:eastAsia="宋体" w:cs="Times New Roman"/>
      <w:spacing w:val="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正文文本 2 Char"/>
    <w:basedOn w:val="8"/>
    <w:link w:val="5"/>
    <w:semiHidden/>
    <w:qFormat/>
    <w:uiPriority w:val="0"/>
    <w:rPr>
      <w:rFonts w:ascii="宋体" w:hAnsi="宋体" w:eastAsia="华文中宋" w:cs="Times New Roman"/>
      <w:spacing w:val="6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lnzyb</Company>
  <Pages>10</Pages>
  <Words>709</Words>
  <Characters>4045</Characters>
  <Lines>33</Lines>
  <Paragraphs>9</Paragraphs>
  <TotalTime>0</TotalTime>
  <ScaleCrop>false</ScaleCrop>
  <LinksUpToDate>false</LinksUpToDate>
  <CharactersWithSpaces>4745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2018-06-27T00:12:00Z</dcterms:created>
  <dc:creator>胡艳芳  </dc:creator>
  <cp:lastModifiedBy>Admin</cp:lastModifiedBy>
  <cp:lastPrinted>2022-01-10T10:42:22Z</cp:lastPrinted>
  <dcterms:modified xsi:type="dcterms:W3CDTF">2022-01-10T10:42:24Z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