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附件2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hint="eastAsia" w:ascii="华文中宋" w:hAnsi="华文中宋" w:eastAsia="华文中宋" w:cs="华文中宋"/>
          <w:bCs/>
          <w:spacing w:val="6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华文中宋" w:hAnsi="华文中宋" w:eastAsia="华文中宋" w:cs="华文中宋"/>
          <w:bCs/>
          <w:spacing w:val="6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pacing w:val="6"/>
          <w:sz w:val="44"/>
          <w:szCs w:val="44"/>
        </w:rPr>
        <w:t>分析会提纲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left"/>
        <w:rPr>
          <w:rFonts w:ascii="黑体" w:hAnsi="宋体" w:eastAsia="黑体" w:cs="Times New Roman"/>
          <w:spacing w:val="6"/>
          <w:sz w:val="44"/>
          <w:szCs w:val="44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left"/>
        <w:rPr>
          <w:rFonts w:ascii="黑体" w:hAnsi="微软雅黑" w:eastAsia="黑体" w:cs="微软雅黑"/>
          <w:spacing w:val="6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 xml:space="preserve"> </w:t>
      </w:r>
      <w:r>
        <w:rPr>
          <w:rFonts w:hint="eastAsia" w:ascii="黑体" w:hAnsi="宋体" w:eastAsia="黑体" w:cs="Times New Roman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宋体" w:eastAsia="黑体" w:cs="Times New Roman"/>
          <w:spacing w:val="6"/>
          <w:sz w:val="32"/>
          <w:szCs w:val="32"/>
        </w:rPr>
        <w:t>一、</w:t>
      </w:r>
      <w:r>
        <w:rPr>
          <w:rFonts w:hint="eastAsia" w:ascii="黑体" w:hAnsi="微软雅黑" w:eastAsia="黑体" w:cs="微软雅黑"/>
          <w:spacing w:val="6"/>
          <w:sz w:val="32"/>
          <w:szCs w:val="32"/>
          <w:shd w:val="clear" w:color="auto" w:fill="FFFFFF"/>
        </w:rPr>
        <w:t>国有金融资本运营及风险情况</w:t>
      </w:r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仿宋_GB2312" w:hAnsi="微软雅黑" w:eastAsia="仿宋_GB2312" w:cs="微软雅黑"/>
          <w:spacing w:val="6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 xml:space="preserve">   （一）截至2022年一季度末，各单位国有金融资本在辽宁省的总量、投向、布局、</w:t>
      </w:r>
      <w:r>
        <w:rPr>
          <w:rFonts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经营运行数据增减变动</w:t>
      </w: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等总体情况</w:t>
      </w:r>
      <w:r>
        <w:rPr>
          <w:rFonts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主要数据指标应包括资产和负债规模变动及影响因素，净利润变动及影响因素，各项存款规模和结构变动情况及影响因素，各项贷款规模和结构变动情况及影响因素。其他指标数据变动情况及原因各单位根据自身情况，选择有代表性的说明汇报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（二）总结此次疫情期间，各单位助力企业纾困解难的做法，在稳定辽宁经济发展中发挥的作用及取得的成效。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结合辽宁推进“一圈一带两区”的地方政策，围绕普惠型小微企业、绿色发展、科技创新、乡村振兴、防范化解地方政府隐性债务、维护房地产市场健康发展等方面，总结本单位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shd w:val="clear" w:color="auto" w:fill="FFFFFF"/>
        </w:rPr>
        <w:t>支持服务辽宁省经济社会发展的创新做法、取得的成效、遇到的困难、存在问题及提出相应意见和建议。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（四）结合报告整体内容，研判本单位国有金融资本运营在辽宁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shd w:val="clear" w:color="auto" w:fill="FFFFFF"/>
        </w:rPr>
        <w:t>地区显现的金融风险向财政转移集聚的苗头性和趋势性风险。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黑体" w:hAnsi="宋体" w:eastAsia="黑体" w:cs="宋体"/>
          <w:bCs/>
          <w:spacing w:val="6"/>
          <w:sz w:val="32"/>
          <w:szCs w:val="32"/>
        </w:rPr>
      </w:pPr>
      <w:r>
        <w:rPr>
          <w:rFonts w:hint="eastAsia" w:ascii="黑体" w:hAnsi="宋体" w:eastAsia="黑体" w:cs="宋体"/>
          <w:bCs/>
          <w:spacing w:val="6"/>
          <w:sz w:val="32"/>
          <w:szCs w:val="32"/>
        </w:rPr>
        <w:t>二、相关意见和建议</w:t>
      </w: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（一）完善宏观经济政策方面的意见和建议；</w:t>
      </w: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（二）改善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</w:rPr>
        <w:t>金融外部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环境方面的意见和建议；</w:t>
      </w: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（三）健全企业自身发展的意见和建议；</w:t>
      </w: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（四）防范化解金融风险的意见和建议；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（五）其他意见和建议。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8037802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3"/>
          <w:ind w:left="357" w:right="420" w:rightChars="200"/>
          <w:jc w:val="right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 w:cstheme="minorEastAsia"/>
            <w:sz w:val="15"/>
            <w:szCs w:val="15"/>
          </w:rPr>
          <w:t>　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11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8037805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3"/>
          <w:ind w:left="420" w:leftChars="200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 w:cstheme="minorEastAsia"/>
            <w:sz w:val="15"/>
            <w:szCs w:val="15"/>
          </w:rPr>
          <w:t>　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10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0A4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7DFFD05F"/>
    <w:rsid w:val="7F3F9276"/>
    <w:rsid w:val="AD9BED66"/>
    <w:rsid w:val="AFF7D8A6"/>
    <w:rsid w:val="D7FFB44F"/>
    <w:rsid w:val="DFEFC74C"/>
    <w:rsid w:val="FEEBD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semiHidden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华文中宋" w:cs="Times New Roman"/>
      <w:spacing w:val="6"/>
      <w:sz w:val="72"/>
      <w:szCs w:val="24"/>
    </w:rPr>
  </w:style>
  <w:style w:type="paragraph" w:styleId="6">
    <w:name w:val="Normal (Web)"/>
    <w:qFormat/>
    <w:uiPriority w:val="0"/>
    <w:pPr>
      <w:widowControl w:val="0"/>
      <w:autoSpaceDE w:val="0"/>
      <w:autoSpaceDN w:val="0"/>
      <w:adjustRightInd w:val="0"/>
      <w:snapToGrid w:val="0"/>
      <w:spacing w:beforeAutospacing="1" w:afterAutospacing="1" w:line="588" w:lineRule="atLeast"/>
      <w:jc w:val="left"/>
    </w:pPr>
    <w:rPr>
      <w:rFonts w:ascii="宋体" w:hAnsi="宋体" w:eastAsia="仿宋_GB2312" w:cs="Times New Roman"/>
      <w:spacing w:val="6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正文文本 2 Char"/>
    <w:basedOn w:val="8"/>
    <w:link w:val="5"/>
    <w:semiHidden/>
    <w:qFormat/>
    <w:uiPriority w:val="0"/>
    <w:rPr>
      <w:rFonts w:ascii="宋体" w:hAnsi="宋体" w:eastAsia="华文中宋" w:cs="Times New Roman"/>
      <w:spacing w:val="6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lnzyb</Company>
  <Pages>10</Pages>
  <Words>709</Words>
  <Characters>4045</Characters>
  <Lines>33</Lines>
  <Paragraphs>9</Paragraphs>
  <TotalTime>1</TotalTime>
  <ScaleCrop>false</ScaleCrop>
  <LinksUpToDate>false</LinksUpToDate>
  <CharactersWithSpaces>4745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2018-06-27T00:12:00Z</dcterms:created>
  <dc:creator>胡艳芳  </dc:creator>
  <cp:lastModifiedBy>Admin</cp:lastModifiedBy>
  <cp:lastPrinted>2022-04-19T16:10:21Z</cp:lastPrinted>
  <dcterms:modified xsi:type="dcterms:W3CDTF">2022-04-19T16:10:24Z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